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120.0" w:type="dxa"/>
        <w:jc w:val="left"/>
        <w:tblInd w:w="-12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95"/>
        <w:gridCol w:w="2880"/>
        <w:gridCol w:w="2970"/>
        <w:gridCol w:w="285"/>
        <w:gridCol w:w="3090"/>
        <w:tblGridChange w:id="0">
          <w:tblGrid>
            <w:gridCol w:w="2895"/>
            <w:gridCol w:w="2880"/>
            <w:gridCol w:w="2970"/>
            <w:gridCol w:w="285"/>
            <w:gridCol w:w="3090"/>
          </w:tblGrid>
        </w:tblGridChange>
      </w:tblGrid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Pandas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7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18/5/20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Half term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Rhinos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7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18/5/20 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Half term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Leopards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7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18/5/20  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Half term review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Pangolins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7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18/5/20   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Half term review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dislike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distant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donkey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over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below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near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busy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heart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36"/>
                <w:szCs w:val="36"/>
                <w:rtl w:val="0"/>
              </w:rPr>
              <w:t xml:space="preserve">Or individual IEP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disgusting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disappear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chimney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journey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lately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often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around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nearby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clear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steer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minute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brighten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toughen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through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enough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recently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eventually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abroad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everywhere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sphere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sincere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soldier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vegetable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lengthen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straighten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thoughtfully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thoroughly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previously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immediately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underneath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elsewhere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persevere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atmosphere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ancient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recommend 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